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АННОТАЦИЯ </w:t>
      </w:r>
    </w:p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программе «Увлекательный мир шахмат»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/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 xml:space="preserve">В нашей стране и за рубежом все большую популярность набирают шахматы. 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</w:t>
      </w:r>
    </w:p>
    <w:p>
      <w:pPr>
        <w:pStyle w:val="Normal"/>
        <w:spacing w:lineRule="auto" w:line="360"/>
        <w:ind w:firstLine="709"/>
        <w:rPr>
          <w:rFonts w:eastAsia="Times New Roman"/>
          <w:color w:val="000000"/>
          <w:sz w:val="28"/>
          <w:szCs w:val="28"/>
          <w:highlight w:val="white"/>
        </w:rPr>
      </w:pPr>
      <w:r>
        <w:rPr>
          <w:rFonts w:eastAsia="Times New Roman"/>
          <w:color w:val="000000"/>
          <w:sz w:val="24"/>
          <w:szCs w:val="24"/>
          <w:shd w:fill="FFFFFF" w:val="clear"/>
        </w:rPr>
        <w:t xml:space="preserve">Логическое мышление – это особая разновидность мышления, которая не дается человеку с рождения. Логике необходимо учить и развивать эту способность со становлением личности. Обычно человек мыслит не логически, а так, как ему проще или выгодно. Однако, логика необходима людям практически во всех жизненных ситуациях: начиная с простой беседы с оппонентом, выбора товаров в магазине, и заканчивая решением сложных технических или информационных задач. В современных реалиях востребована личность,  способная к самообучению и саморазвитию, ежеминутному анализу ситуации, умеющая логически мыслить и быстро ориентироваться в окружающей обстановке, брать на себя ответственность за принятие решений. </w:t>
      </w:r>
      <w:r>
        <w:rPr>
          <w:sz w:val="24"/>
          <w:szCs w:val="24"/>
        </w:rPr>
        <w:t xml:space="preserve">В отличие от других логических игр, шахматы, хотя и являются видом спорта, направлены в первую очередь на развитие внутреннего мира человека; шахматы – это искусство гармонии и красоты. </w:t>
      </w:r>
      <w:r>
        <w:rPr>
          <w:rFonts w:eastAsia="Times New Roman"/>
          <w:color w:val="000000"/>
          <w:sz w:val="24"/>
          <w:szCs w:val="24"/>
          <w:shd w:fill="FFFFFF" w:val="clear"/>
        </w:rPr>
        <w:t xml:space="preserve">Поскольку шахматы развивают концентрацию внимания, изобретательность и логическое мышление, учат думать, запоминать, сравнивать, обобщать, предвидеть результаты своей деятельности, мыслить стратегически, следовательно, обучение этой игре с самого раннего возраста становится все актуальнее и входит с пятерку приоритетных направлений развития детей, поддерживаемых на государственном  уровне. 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 xml:space="preserve">Программа представляет собой вариативный по срокам освоения курс, построенный на принципе модульного обучения, и предполагает преемственность обучения на различных этапах освоения, однако эта преемственность не является обязательной (т.е. ребенок, успешно освоивший начальный модуль программы, не обязан продолжать обучение по основному модулю; ребенок, завершив обучение по основному модулю, совершенно не обязательно достигнет уровня модуля «Мастерства») Программа включает в себя 3 модуля: 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>1 модуль – начальный – ориентирован на детей дошкольного возраста, рассчитан на прохождение за 1 (дети 6 лет) или 2 (дети 4-5 лет) учебных года.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>2 модуль – основной – ориентирован на детей младшего школьного и среднего школьного возраста и рассчитан на 3 года обучения.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>3 модуль – мастерства – ориентирован на детей среднего школьного возраста, имеющих особый интерес к шахматам и склонных к углублению шахматных знаний. Данный модуль не имеет жестких временных рамок и строится индивидуально в зависимости от потребностей обучающегося.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>Целью данной программы является создание условий для развития интеллектуально-творческих способностей детей с наиболее полным использованием потенциальных возможностей, заложенных в логических играх, в частности, в шахматах. Цель достигается за счет решения задач, обширных и разносторонних, в зависимости от года обучения, или освоения того или иного модуля.</w:t>
      </w:r>
    </w:p>
    <w:p>
      <w:pPr>
        <w:pStyle w:val="Normal"/>
        <w:spacing w:lineRule="auto" w:line="36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 окончании </w:t>
      </w:r>
      <w:r>
        <w:rPr>
          <w:b/>
          <w:sz w:val="24"/>
          <w:szCs w:val="24"/>
        </w:rPr>
        <w:t>начального</w:t>
      </w:r>
      <w:r>
        <w:rPr>
          <w:sz w:val="24"/>
          <w:szCs w:val="24"/>
        </w:rPr>
        <w:t xml:space="preserve"> модуля ребенок должен:</w:t>
      </w:r>
    </w:p>
    <w:tbl>
      <w:tblPr>
        <w:tblStyle w:val="a3"/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25"/>
        <w:gridCol w:w="5125"/>
      </w:tblGrid>
      <w:tr>
        <w:trPr/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>
        <w:trPr>
          <w:trHeight w:val="4721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шахматные термины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Названия и ценность шахматных фигур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Центр доски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Начальное положение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Ориентироваться на шахматной доске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Правильно расставлять фигуры перед игрой, различать горизонталь, вертикаль, диагональ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Разыгрывать партии в соответствии с основными правилами игры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Записывать шахматную партию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Успешно решать простейшие позиции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Рокировать, ставить мат, объявлять шах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Завершить партию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 xml:space="preserve">По окончании </w:t>
      </w:r>
      <w:r>
        <w:rPr>
          <w:b/>
          <w:sz w:val="24"/>
          <w:szCs w:val="24"/>
        </w:rPr>
        <w:t>основного</w:t>
      </w:r>
      <w:r>
        <w:rPr>
          <w:sz w:val="24"/>
          <w:szCs w:val="24"/>
        </w:rPr>
        <w:t xml:space="preserve"> модуля программы ребенок должен:</w:t>
      </w:r>
    </w:p>
    <w:tbl>
      <w:tblPr>
        <w:tblStyle w:val="a3"/>
        <w:tblW w:w="102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25"/>
        <w:gridCol w:w="5125"/>
      </w:tblGrid>
      <w:tr>
        <w:trPr/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знать</w:t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уметь</w:t>
            </w:r>
          </w:p>
        </w:tc>
      </w:tr>
      <w:tr>
        <w:trPr/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Значения терминов дебют, миттельшпиль, эндшпиль, темп, оппозиция, ключевые поля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Принципы игры в дебюте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Основы тактических приемов</w:t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Успешно решать следующие шахматные задачи: мат в 1 ход, мат в 2 хода, сделать ничью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Грамотно расположить шахматные фигуры в дебюте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Находить несложные тактические удары и комбинации</w:t>
            </w:r>
          </w:p>
          <w:p>
            <w:pPr>
              <w:pStyle w:val="Normal"/>
              <w:spacing w:lineRule="auto" w:line="36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Точно разыгрывать простейшие окончания</w:t>
            </w:r>
          </w:p>
        </w:tc>
      </w:tr>
    </w:tbl>
    <w:p>
      <w:pPr>
        <w:pStyle w:val="Normal"/>
        <w:spacing w:lineRule="auto" w:line="36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4"/>
          <w:szCs w:val="24"/>
        </w:rPr>
        <w:t>Модуль «Мастерство»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>Данный модуль ориентирован на детей среднего школьного возраста, имеющих особый интерес к шахматам и склонных к углублению шахматных знаний. Считается целесообразным с такими детьми работать в индивидуальном порядке, для чего составляются индивидуальные тематические планы.</w:t>
      </w:r>
    </w:p>
    <w:p>
      <w:pPr>
        <w:pStyle w:val="Normal"/>
        <w:spacing w:lineRule="auto" w:line="360"/>
        <w:ind w:firstLine="709"/>
        <w:rPr>
          <w:sz w:val="28"/>
          <w:szCs w:val="28"/>
        </w:rPr>
      </w:pPr>
      <w:r>
        <w:rPr>
          <w:sz w:val="24"/>
          <w:szCs w:val="24"/>
        </w:rPr>
        <w:t>В результате занятий по модулю «Мастерство» ожидается участие и занятие призовых мест обучающимися в турнирах высокого уровня – в региональных и  всероссийских шахматных чемпионатах.</w:t>
      </w:r>
    </w:p>
    <w:p>
      <w:pPr>
        <w:pStyle w:val="Normal"/>
        <w:spacing w:lineRule="auto" w:line="360"/>
        <w:ind w:firstLine="709"/>
        <w:rPr/>
      </w:pPr>
      <w:r>
        <w:rPr>
          <w:sz w:val="24"/>
          <w:szCs w:val="24"/>
        </w:rPr>
        <w:t xml:space="preserve">За все время занятий у творческом объединении «Шахматы» все дети участвуют во множестве турниров в «Факеле», а также выездных. </w:t>
      </w:r>
    </w:p>
    <w:sectPr>
      <w:type w:val="nextPage"/>
      <w:pgSz w:w="11906" w:h="16838"/>
      <w:pgMar w:left="964" w:right="907" w:header="0" w:top="1077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07d2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4ff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LibreOffice/6.0.3.2$Linux_X86_64 LibreOffice_project/00m0$Build-2</Application>
  <Pages>3</Pages>
  <Words>584</Words>
  <Characters>3961</Characters>
  <CharactersWithSpaces>4524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2018-09-26T05:11:00Z</dcterms:created>
  <dc:creator>USER</dc:creator>
  <dc:description/>
  <dc:language>ru-RU</dc:language>
  <cp:lastModifiedBy/>
  <dcterms:modified xsi:type="dcterms:W3CDTF">2018-09-26T16:29:12Z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