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object>
          <v:shape id="_x0000_i1025" o:spt="75" type="#_x0000_t75" style="height:684.95pt;width:492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AcroExch.Document.11" ShapeID="_x0000_i1025" DrawAspect="Content" ObjectID="_1468075725" r:id="rId4">
            <o:LockedField>false</o:LockedField>
          </o:OLEObject>
        </w:objec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   </w:t>
      </w:r>
      <w:bookmarkStart w:id="0" w:name="_GoBack"/>
      <w:bookmarkEnd w:id="0"/>
    </w:p>
    <w:p/>
    <w:p>
      <w:pPr>
        <w:ind w:firstLine="709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1. Общие сведения</w:t>
      </w:r>
    </w:p>
    <w:p/>
    <w:p>
      <w:pPr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Полное наименование Учреждения - муниципальное бюджетное учреждение дополнительного образования «Центр детского творчества «Факел». </w:t>
      </w:r>
    </w:p>
    <w:p>
      <w:pPr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 Сокращённое наименование - МБУДО «ЦДТ «Факел». </w:t>
      </w:r>
    </w:p>
    <w:p>
      <w:pPr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 Организационно-правовая форма – бюджетное учреждение. </w:t>
      </w:r>
    </w:p>
    <w:p>
      <w:pPr>
        <w:tabs>
          <w:tab w:val="left" w:pos="1134"/>
          <w:tab w:val="left" w:pos="1276"/>
        </w:tabs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 Местонахождения Учреждения – Новосибирская область, </w:t>
      </w:r>
      <w:r>
        <w:rPr>
          <w:rFonts w:cs="Times New Roman"/>
          <w:sz w:val="28"/>
          <w:szCs w:val="28"/>
        </w:rPr>
        <w:br w:type="textWrapping"/>
      </w:r>
      <w:r>
        <w:rPr>
          <w:rFonts w:cs="Times New Roman"/>
          <w:sz w:val="28"/>
          <w:szCs w:val="28"/>
        </w:rPr>
        <w:t xml:space="preserve">р.п. Кольцово, зд. 9а, офис 1 </w:t>
      </w:r>
    </w:p>
    <w:p>
      <w:pPr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1.5. Телефон: (383)3366521 </w:t>
      </w:r>
    </w:p>
    <w:p>
      <w:pPr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1.6. </w:t>
      </w:r>
      <w:r>
        <w:rPr>
          <w:rFonts w:cs="Times New Roman"/>
          <w:sz w:val="28"/>
          <w:szCs w:val="28"/>
          <w:lang w:val="en-US"/>
        </w:rPr>
        <w:t>e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mail</w:t>
      </w:r>
      <w:r>
        <w:rPr>
          <w:rFonts w:cs="Times New Roman"/>
          <w:sz w:val="28"/>
          <w:szCs w:val="28"/>
        </w:rPr>
        <w:t xml:space="preserve">: </w:t>
      </w:r>
      <w:r>
        <w:fldChar w:fldCharType="begin"/>
      </w:r>
      <w:r>
        <w:instrText xml:space="preserve"> HYPERLINK "mailto:kolcovo@fakelcdt.ru" </w:instrText>
      </w:r>
      <w:r>
        <w:fldChar w:fldCharType="separate"/>
      </w:r>
      <w:r>
        <w:rPr>
          <w:rStyle w:val="4"/>
          <w:rFonts w:cs="Times New Roman"/>
          <w:sz w:val="28"/>
          <w:szCs w:val="28"/>
          <w:lang w:val="en-US"/>
        </w:rPr>
        <w:t>kolcovo</w:t>
      </w:r>
      <w:r>
        <w:rPr>
          <w:rStyle w:val="4"/>
          <w:rFonts w:cs="Times New Roman"/>
          <w:sz w:val="28"/>
          <w:szCs w:val="28"/>
        </w:rPr>
        <w:t>@</w:t>
      </w:r>
      <w:r>
        <w:rPr>
          <w:rStyle w:val="4"/>
          <w:rFonts w:cs="Times New Roman"/>
          <w:sz w:val="28"/>
          <w:szCs w:val="28"/>
          <w:lang w:val="en-US"/>
        </w:rPr>
        <w:t>fakelcdt</w:t>
      </w:r>
      <w:r>
        <w:rPr>
          <w:rStyle w:val="4"/>
          <w:rFonts w:cs="Times New Roman"/>
          <w:sz w:val="28"/>
          <w:szCs w:val="28"/>
        </w:rPr>
        <w:t>.</w:t>
      </w:r>
      <w:r>
        <w:rPr>
          <w:rStyle w:val="4"/>
          <w:rFonts w:cs="Times New Roman"/>
          <w:sz w:val="28"/>
          <w:szCs w:val="28"/>
          <w:lang w:val="en-US"/>
        </w:rPr>
        <w:t>ru</w:t>
      </w:r>
      <w:r>
        <w:rPr>
          <w:rStyle w:val="4"/>
          <w:rFonts w:cs="Times New Roman"/>
          <w:sz w:val="28"/>
          <w:szCs w:val="28"/>
          <w:lang w:val="en-US"/>
        </w:rPr>
        <w:fldChar w:fldCharType="end"/>
      </w:r>
      <w:r>
        <w:rPr>
          <w:rFonts w:cs="Times New Roman"/>
          <w:sz w:val="28"/>
          <w:szCs w:val="28"/>
        </w:rPr>
        <w:t xml:space="preserve"> </w:t>
      </w:r>
    </w:p>
    <w:p>
      <w:pPr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1.7. Сайт: </w:t>
      </w:r>
      <w:r>
        <w:rPr>
          <w:rFonts w:cs="Times New Roman"/>
          <w:sz w:val="28"/>
          <w:szCs w:val="28"/>
          <w:lang w:val="en-US"/>
        </w:rPr>
        <w:t>fakelcdt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en-US"/>
        </w:rPr>
        <w:t>ru</w:t>
      </w:r>
      <w:r>
        <w:rPr>
          <w:rFonts w:cs="Times New Roman"/>
          <w:sz w:val="28"/>
          <w:szCs w:val="28"/>
        </w:rPr>
        <w:t xml:space="preserve"> </w:t>
      </w:r>
    </w:p>
    <w:p>
      <w:pPr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1.8. ФИО руководителя: Шер Оксана Владимировна – директор МБУДО «ЦДТ «Факел» </w:t>
      </w:r>
    </w:p>
    <w:p>
      <w:pPr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1.9. Тел. (383)3366521 </w:t>
      </w:r>
    </w:p>
    <w:p>
      <w:pPr>
        <w:rPr>
          <w:rFonts w:cs="Times New Roman"/>
          <w:sz w:val="28"/>
          <w:szCs w:val="28"/>
        </w:rPr>
      </w:pPr>
    </w:p>
    <w:p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Организационно-правовое обеспечение деятельности образовательного учреждения</w:t>
      </w:r>
    </w:p>
    <w:p>
      <w:pPr>
        <w:spacing w:line="276" w:lineRule="auto"/>
      </w:pP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2.1. Устав Утвержден постановлением администрации рабочего поселка Кольцово от 23.12.15 №1253.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2.2. Лицензия на право ведения образовательной деятельности № 9920 от 22 августа 2016, выдана Министерством образования, науки и инновационной политики Новосибирской области, бессрочно. </w:t>
      </w:r>
    </w:p>
    <w:p/>
    <w:p>
      <w:pPr>
        <w:ind w:firstLine="709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3. Организация образовательного процесса</w:t>
      </w:r>
    </w:p>
    <w:p/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3.1. Предметом деятельности Учреждения является дополнительное образование детей и взрослых. Центр детского творчества «Факел» реализует дополнительные общеобразовательные, общеразвивающие программы, в том числе следующих направленностей: художественной, социально-педагогической, физкультурно-спортивной и технической. Каждый воспитанник может заниматься в нескольких объединениях, менять их в течение года.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3.2. Среди других видов образовательной деятельности Учреждения: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работы по организации мероприятий: конференций, семинаров, выставок, совещаний, конкурсов, праздников;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создание и обеспечение необходимых условий для личностного развития, укрепления здоровья, профессионального самоопределения и творческого труда обучающихся;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оказание помощи семье в обеспечении всестороннего развития детей, не посещающих дошкольные образовательные учреждения, формировании у детей основ готовности к школьному обучению;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подготовка обучающихся к участию в соревнованиях различного уровня;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подготовку спортивного резерва и спортсменов высокого класса в соответствии с федеральными стандартами спортивной подготовки, в том числе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из числа обучающихся с ограниченными возможностями здоровья, детей-инвалидов и инвалидов;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 организация и проведение массовых мероприятий, создание необходимых условий для совместного труда и (или) отдыха обучающихся, родителей (законных представителей);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организация содержательного досуга детей;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 оказание помощи педагогическим коллективам других образовательных организаций в реализации дополнительных общеобразовательных программ, организации досуговой и вне учебной деятельности обучающихся, а также молодежным и детским общественным объединениям и организациям на договорной основе;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организация работы детского образовательно-оздоровительного лагеря кратковременного пребывания в каникулярный период;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обобщение и распространение инновационного опыта работы Учреждения в области воспитания и дополнительного образования детей и юношества;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работы и услуги по предоставлению консультационных и методических услуг.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</w:p>
    <w:p>
      <w:pPr>
        <w:ind w:firstLine="709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3.3. Комплектование групп по состоянию на 30 сентября 2023 года</w:t>
      </w:r>
    </w:p>
    <w:p/>
    <w:tbl>
      <w:tblPr>
        <w:tblStyle w:val="8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232"/>
        <w:gridCol w:w="1902"/>
        <w:gridCol w:w="1871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3" w:type="dxa"/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№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Направление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Кол-во объединений</w:t>
            </w:r>
          </w:p>
        </w:tc>
        <w:tc>
          <w:tcPr>
            <w:tcW w:w="1871" w:type="dxa"/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Кол-во групп</w:t>
            </w:r>
          </w:p>
        </w:tc>
        <w:tc>
          <w:tcPr>
            <w:tcW w:w="1907" w:type="dxa"/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Кол-во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232" w:type="dxa"/>
          </w:tcPr>
          <w:p>
            <w:pPr>
              <w:spacing w:before="60" w:after="6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 области искусств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1871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35</w:t>
            </w:r>
          </w:p>
        </w:tc>
        <w:tc>
          <w:tcPr>
            <w:tcW w:w="1907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232" w:type="dxa"/>
          </w:tcPr>
          <w:p>
            <w:pPr>
              <w:spacing w:before="60" w:after="6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 области физической культуры и спорта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871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</w:p>
        </w:tc>
        <w:tc>
          <w:tcPr>
            <w:tcW w:w="1907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232" w:type="dxa"/>
          </w:tcPr>
          <w:p>
            <w:pPr>
              <w:spacing w:before="60" w:after="6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Социально-гуманитарное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871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1907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232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Техническое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871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907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Итого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02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31</w:t>
            </w:r>
          </w:p>
        </w:tc>
        <w:tc>
          <w:tcPr>
            <w:tcW w:w="1871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83</w:t>
            </w:r>
          </w:p>
        </w:tc>
        <w:tc>
          <w:tcPr>
            <w:tcW w:w="1907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1205</w:t>
            </w:r>
          </w:p>
        </w:tc>
      </w:tr>
    </w:tbl>
    <w:p/>
    <w:p/>
    <w:p/>
    <w:p/>
    <w:p/>
    <w:p/>
    <w:p/>
    <w:p/>
    <w:p>
      <w:pPr>
        <w:spacing w:after="200" w:line="276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3.4. Комплектование групп по состоянию на 31 декабря 2023 года</w:t>
      </w:r>
    </w:p>
    <w:tbl>
      <w:tblPr>
        <w:tblStyle w:val="8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230"/>
        <w:gridCol w:w="1903"/>
        <w:gridCol w:w="1872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" w:type="dxa"/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№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Направление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Кол-во объединений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Кол-во групп</w:t>
            </w:r>
          </w:p>
        </w:tc>
        <w:tc>
          <w:tcPr>
            <w:tcW w:w="1915" w:type="dxa"/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Кол-во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1.</w:t>
            </w:r>
          </w:p>
        </w:tc>
        <w:tc>
          <w:tcPr>
            <w:tcW w:w="3294" w:type="dxa"/>
          </w:tcPr>
          <w:p>
            <w:pPr>
              <w:spacing w:before="60" w:after="6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 области искусств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35</w:t>
            </w:r>
          </w:p>
        </w:tc>
        <w:tc>
          <w:tcPr>
            <w:tcW w:w="1915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9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2.</w:t>
            </w:r>
          </w:p>
        </w:tc>
        <w:tc>
          <w:tcPr>
            <w:tcW w:w="3294" w:type="dxa"/>
          </w:tcPr>
          <w:p>
            <w:pPr>
              <w:spacing w:before="60" w:after="6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 области физической культуры и спорта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</w:p>
        </w:tc>
        <w:tc>
          <w:tcPr>
            <w:tcW w:w="1915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3.</w:t>
            </w:r>
          </w:p>
        </w:tc>
        <w:tc>
          <w:tcPr>
            <w:tcW w:w="3294" w:type="dxa"/>
          </w:tcPr>
          <w:p>
            <w:pPr>
              <w:spacing w:before="60" w:after="6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Социально-гуманитарное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1915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4.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Техническое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915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Итого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14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31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83</w:t>
            </w:r>
          </w:p>
        </w:tc>
        <w:tc>
          <w:tcPr>
            <w:tcW w:w="1915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1205</w:t>
            </w:r>
          </w:p>
        </w:tc>
      </w:tr>
    </w:tbl>
    <w:p/>
    <w:p>
      <w:pPr>
        <w:jc w:val="center"/>
        <w:rPr>
          <w:b/>
        </w:rPr>
      </w:pPr>
    </w:p>
    <w:p>
      <w:pPr>
        <w:ind w:firstLine="708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3.5 Анализ количественного состава обучающихся по возрастным категориям (фактические дети)</w:t>
      </w:r>
    </w:p>
    <w:p/>
    <w:tbl>
      <w:tblPr>
        <w:tblStyle w:val="3"/>
        <w:tblpPr w:leftFromText="180" w:rightFromText="180" w:vertAnchor="text" w:horzAnchor="margin" w:tblpXSpec="center" w:tblpY="308"/>
        <w:tblW w:w="10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Наименование</w:t>
            </w:r>
          </w:p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показателей</w:t>
            </w:r>
          </w:p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0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Число полных лет по состоянию на 1 января 2023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менее</w:t>
            </w:r>
          </w:p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7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Техническое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7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Социально-гуманитарное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7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области искусств по общеразвивающим программам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7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области физической культуры и спорта по общеразвивающим программам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3</w:t>
            </w: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1</w:t>
            </w: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ind w:firstLine="709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3.6. Режим работы учреждения</w:t>
      </w:r>
    </w:p>
    <w:p/>
    <w:p>
      <w:pPr>
        <w:ind w:firstLine="709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Расписание занятий: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ЦДТ «Факел» работает с 8-00 до 20-00 шесть дней в неделю. Расписание занятий составляется с целью создания наиболее благоприятного режима обучения и отдыха детей с учетом возрастных особенностей обучающихся, пожеланий родителей (законных представителей) и установленных санитарно-гигиенических норм и правил.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Продолжительность занятий исчисляется в академических часах (в зависимости от возраста детей), предусмотрен обязательный перерыв между занятиями.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Утверждается директором ЦДТ «Факел».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течение года расписание может корректироваться, в связи с необходимостью. Допускается перенос занятий по согласованию с администрацией учреждения.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Родители (законные представители) знакомятся с расписанием занятий и информируются о переносе занятий. </w:t>
      </w:r>
    </w:p>
    <w:p>
      <w:pPr>
        <w:spacing w:line="276" w:lineRule="auto"/>
      </w:pPr>
    </w:p>
    <w:p>
      <w:pPr>
        <w:spacing w:line="276" w:lineRule="auto"/>
        <w:ind w:firstLine="709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Учебный план: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Учебный план составлен с учетом имеющихся условий Центра детского творчества и социального заказа.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Образовательная деятельность ЦДТ «Факел» предоставляет ребенку возможность освоить разнообразные образовательные программы по четырем направлениям: художественному, социально-педагогическому и физкультурно-спортивному.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Содержание деятельности объединения определяется педагогом с учетом задач образовательных программ. Занятия могут проводиться по программам одной тематической направленности или комплексным. Численный состав объединения, продолжительность занятий определяются Уставом Центра детского творчества, образовательными задачами, а также санитарно – эпидемиологическими нормами и зависят от вида деятельности.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Количество часов в неделю – от 1 до 12 (включая факультативный курс).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Количество часов в неделю в группах детей дошкольного возраста – от 1 до 4, продолжительность занятий 25 минут. Занятия в группе проводятся 1-3 раза в неделю по 1-2 часа. Активный перерыв между занятиями составляет 5 минут.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Количество детей в группе определяется задачами и особенностями образовательного процесса. Занятия могут проводиться по группам и индивидуально или всем составом объединения.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Общая структура учебного плана отражает существенные стороны конкретно-предметного интереса личности в том или ином виде творческой деятельности.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Учебно-тематическое планирование строится по годам обучения.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первый год обучения даются общие основы знаний по направлению выбранной деятельности через усвоение понятий, освоение базовых элементов, опыт репродуктивного воспроизведения предлагаемых образцов. Особое значение уделяется развитию мотивации и интереса учащихся, развитию положительного отношения к предлагаемой деятельности. Обучение носит ознакомительный характер, цель которого помочь составить представление о выбранной деятельности, оценить свои возможности в освоении данной деятельности.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На втором году обучения проходит осмысление имеющегося опыта выбранной деятельности, развитие его на основе углубления теоретических знаний и практических навыков. Обучение на втором году предполагает не только репродуктивные формы, но и достижение доступного уровня творческого применения знаний и умений.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Обучение в рамках третьего года обучения предполагает включение обучаемых в самостоятельную работу по выбранной теме на основе глубокого изучения предмета, совершенствование практических навыков, организацию самостоятельной творческой деятельности. </w:t>
      </w:r>
    </w:p>
    <w:p/>
    <w:p>
      <w:pPr>
        <w:ind w:firstLine="709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3.7. Содержание образовательной деятельности</w:t>
      </w:r>
    </w:p>
    <w:p/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Основным документом планирования и организации образовательного процесса являются дополнительные образовательные общеразвивающие программы, разработанные на основе нормативных документов с учетом опыта педагогов Центра. Программы предусматривают: цели и задачи обучения; программный материал по разделам и по годам обучения; средства и формы подготовки. В Центре реализуются 31 образовательных программ по четырем направлениям: техническое, художественное, социально-педагогическое, физкультурно-спортивное.</w:t>
      </w:r>
    </w:p>
    <w:p/>
    <w:tbl>
      <w:tblPr>
        <w:tblStyle w:val="3"/>
        <w:tblW w:w="10081" w:type="dxa"/>
        <w:tblInd w:w="25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21"/>
        <w:gridCol w:w="2601"/>
        <w:gridCol w:w="1787"/>
        <w:gridCol w:w="1474"/>
        <w:gridCol w:w="16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uppressAutoHyphens/>
              <w:autoSpaceDN w:val="0"/>
              <w:jc w:val="center"/>
              <w:textAlignment w:val="baseline"/>
              <w:rPr>
                <w:rFonts w:eastAsia="Noto Sans CJK SC Regular" w:cs="Times New Roman"/>
                <w:b/>
                <w:kern w:val="3"/>
                <w:sz w:val="22"/>
                <w:lang w:eastAsia="zh-CN" w:bidi="hi-IN"/>
              </w:rPr>
            </w:pPr>
            <w:r>
              <w:rPr>
                <w:rFonts w:eastAsia="Noto Sans CJK SC Regular" w:cs="Times New Roman"/>
                <w:b/>
                <w:kern w:val="3"/>
                <w:sz w:val="22"/>
                <w:lang w:eastAsia="zh-CN" w:bidi="hi-IN"/>
              </w:rPr>
              <w:t>Творческое объединение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uppressAutoHyphens/>
              <w:autoSpaceDN w:val="0"/>
              <w:jc w:val="center"/>
              <w:textAlignment w:val="baseline"/>
              <w:rPr>
                <w:rFonts w:eastAsia="Noto Sans CJK SC Regular" w:cs="Times New Roman"/>
                <w:b/>
                <w:kern w:val="3"/>
                <w:sz w:val="22"/>
                <w:lang w:eastAsia="zh-CN" w:bidi="hi-IN"/>
              </w:rPr>
            </w:pPr>
            <w:r>
              <w:rPr>
                <w:rFonts w:eastAsia="Noto Sans CJK SC Regular" w:cs="Times New Roman"/>
                <w:b/>
                <w:kern w:val="3"/>
                <w:sz w:val="22"/>
                <w:lang w:eastAsia="zh-CN" w:bidi="hi-IN"/>
              </w:rPr>
              <w:t>Название  программы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Тип программы</w:t>
            </w:r>
          </w:p>
          <w:p>
            <w:pPr>
              <w:suppressAutoHyphens/>
              <w:autoSpaceDN w:val="0"/>
              <w:jc w:val="center"/>
              <w:textAlignment w:val="baseline"/>
              <w:rPr>
                <w:rFonts w:eastAsia="Noto Sans CJK SC Regular" w:cs="Times New Roman"/>
                <w:b/>
                <w:kern w:val="3"/>
                <w:sz w:val="22"/>
                <w:lang w:eastAsia="zh-CN" w:bidi="hi-IN"/>
              </w:rPr>
            </w:pP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uppressAutoHyphens/>
              <w:autoSpaceDN w:val="0"/>
              <w:jc w:val="center"/>
              <w:textAlignment w:val="baseline"/>
              <w:rPr>
                <w:rFonts w:eastAsia="Noto Sans CJK SC Regular" w:cs="Times New Roman"/>
                <w:b/>
                <w:kern w:val="3"/>
                <w:sz w:val="22"/>
                <w:lang w:eastAsia="zh-CN" w:bidi="hi-IN"/>
              </w:rPr>
            </w:pPr>
            <w:r>
              <w:rPr>
                <w:rFonts w:eastAsia="Calibri" w:cs="Times New Roman"/>
                <w:b/>
                <w:sz w:val="22"/>
              </w:rPr>
              <w:t>Нормативный срок обучения (уч.год)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uppressAutoHyphens/>
              <w:autoSpaceDN w:val="0"/>
              <w:jc w:val="center"/>
              <w:textAlignment w:val="baseline"/>
              <w:rPr>
                <w:rFonts w:eastAsia="Noto Sans CJK SC Regular" w:cs="Times New Roman"/>
                <w:b/>
                <w:kern w:val="3"/>
                <w:sz w:val="22"/>
                <w:lang w:eastAsia="zh-CN" w:bidi="hi-IN"/>
              </w:rPr>
            </w:pPr>
            <w:r>
              <w:rPr>
                <w:rFonts w:eastAsia="Noto Sans CJK SC Regular" w:cs="Times New Roman"/>
                <w:b/>
                <w:kern w:val="3"/>
                <w:sz w:val="22"/>
                <w:lang w:eastAsia="zh-CN" w:bidi="hi-IN"/>
              </w:rPr>
              <w:t xml:space="preserve">Возраст </w:t>
            </w:r>
          </w:p>
          <w:p>
            <w:pPr>
              <w:suppressAutoHyphens/>
              <w:autoSpaceDN w:val="0"/>
              <w:jc w:val="center"/>
              <w:textAlignment w:val="baseline"/>
              <w:rPr>
                <w:rFonts w:eastAsia="Noto Sans CJK SC Regular" w:cs="Times New Roman"/>
                <w:b/>
                <w:kern w:val="3"/>
                <w:sz w:val="22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«Академия вожатых»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«Академия вожатых»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uppressAutoHyphens/>
              <w:autoSpaceDN w:val="0"/>
              <w:jc w:val="left"/>
              <w:textAlignment w:val="baseline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Noto Sans CJK SC Regular" w:cs="Times New Roman"/>
                <w:kern w:val="3"/>
                <w:sz w:val="22"/>
                <w:lang w:eastAsia="zh-CN" w:bidi="hi-IN"/>
              </w:rPr>
              <w:t xml:space="preserve">Общеразвивающая 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14 — 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«Лаборатория  безопасности»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«Академия безопасности»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uppressAutoHyphens/>
              <w:autoSpaceDN w:val="0"/>
              <w:jc w:val="left"/>
              <w:textAlignment w:val="baseline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Noto Sans CJK SC Regular" w:cs="Times New Roman"/>
                <w:kern w:val="3"/>
                <w:sz w:val="22"/>
                <w:lang w:eastAsia="zh-CN" w:bidi="hi-IN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11 — 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«Батик»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«Художественная роспись по ткани»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uppressAutoHyphens/>
              <w:autoSpaceDN w:val="0"/>
              <w:jc w:val="left"/>
              <w:textAlignment w:val="baseline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Noto Sans CJK SC Regular" w:cs="Times New Roman"/>
                <w:kern w:val="3"/>
                <w:sz w:val="22"/>
                <w:lang w:eastAsia="zh-CN" w:bidi="hi-IN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7 – 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ind w:hanging="108"/>
              <w:jc w:val="center"/>
              <w:outlineLvl w:val="3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«Бисероплетение»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«Искусство бисера»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uppressAutoHyphens/>
              <w:autoSpaceDN w:val="0"/>
              <w:jc w:val="left"/>
              <w:textAlignment w:val="baseline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Noto Sans CJK SC Regular" w:cs="Times New Roman"/>
                <w:kern w:val="3"/>
                <w:sz w:val="22"/>
                <w:lang w:eastAsia="zh-CN" w:bidi="hi-IN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5 – 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ind w:hanging="108"/>
              <w:jc w:val="center"/>
              <w:outlineLvl w:val="3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«В кадре»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«В кадре»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Общеразвивающая 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8 – 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«Декоративная лепка»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«Искусство лепки»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7 – 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"ИЗО-студия "Квадрат"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«Цвет и форма как символ мироздания»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7 – 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«Студия мультипликации «Маяк»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«Мультипликация»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2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 xml:space="preserve">4 – 18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«Роспись»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«Роспись»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7 – 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«Студия альтернативной моды «Озорной квилт»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«Озорной Квилт»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6 – 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«Студия прикладного дизайна «Гиацинт»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«Цветочная мастерская»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6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9 — 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«Студия современного и классического танца «Стимул»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«Современный и классический танец»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Общеразвивающая 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9 — 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«Эко-дизайн»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«Эко-дизайн»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10 - 17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rPr>
                <w:rFonts w:eastAsia="Noto Sans CJK SC Regular" w:cs="Times New Roman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«Английский язык для младших школьников: Jolly Phonics шаг за шагом»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«Английский язык для младших школьников: Jolly Phonics шаг за шагом»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7 – 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«Кольцобинчик»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color w:val="000000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«Особенный ребенок»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uppressAutoHyphens/>
              <w:autoSpaceDN w:val="0"/>
              <w:jc w:val="left"/>
              <w:textAlignment w:val="baseline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kern w:val="3"/>
                <w:sz w:val="22"/>
                <w:lang w:eastAsia="ru-RU" w:bidi="hi-IN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7 – 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color w:val="000000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«Особый ребенок»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color w:val="000000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«Особый ребенок»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2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7 - 12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«Встреча с музыкой»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«Встреча с музыкой»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4 – 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1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«Шахматы»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«Шахматы»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7 – 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«Юный шахматист»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«Юный шахматист»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5 – 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«Театральная деятельность (ОВЗ)»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«Театральная деятельность (ОВЗ)»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7 – 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</w:trPr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«Творческая мастерская "Артист»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rPr>
                <w:rFonts w:eastAsia="Times New Roman" w:cs="Times New Roman"/>
                <w:kern w:val="3"/>
                <w:sz w:val="22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«Творческая мастерская «Артист»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7 – 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«Безопасные маршруты»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«Безопасные маршруты»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4 – 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«Диковинные узоры»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«Диковинные узоры»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 xml:space="preserve">6 – 9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«Мастерская»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«Мастерская 2.02.0»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 xml:space="preserve">6 – 9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«Волшебная кисточка»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«Волшебная кисточка»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3-8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«Музыкант-фантазер»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«Музыкант-фантазер»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1-6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«Родничок»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«Родничок»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1,5-3,5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«Стимул для дошкольников»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«Хореография для дошкольников»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3-6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«Колибри», «Колибри-мини»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«Игровая хореография»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3-6,6-14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«Песочные фантазии»</w:t>
            </w:r>
          </w:p>
        </w:tc>
        <w:tc>
          <w:tcPr>
            <w:tcW w:w="26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225"/>
              <w:jc w:val="center"/>
              <w:outlineLvl w:val="3"/>
              <w:rPr>
                <w:rFonts w:eastAsia="Noto Sans CJK SC Regular" w:cs="Times New Roman"/>
                <w:kern w:val="3"/>
                <w:sz w:val="22"/>
                <w:lang w:eastAsia="zh-CN" w:bidi="hi-I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«Песочные фантазии»</w:t>
            </w:r>
          </w:p>
        </w:tc>
        <w:tc>
          <w:tcPr>
            <w:tcW w:w="17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Общеразвивающая</w:t>
            </w:r>
          </w:p>
        </w:tc>
        <w:tc>
          <w:tcPr>
            <w:tcW w:w="14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>
                <w:rFonts w:ascii="Calibri" w:hAnsi="Calibri" w:eastAsia="Calibri" w:cs="Times New Roman"/>
                <w:sz w:val="22"/>
              </w:rPr>
              <w:t>5-14</w:t>
            </w:r>
          </w:p>
        </w:tc>
      </w:tr>
    </w:tbl>
    <w:p/>
    <w:p/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На занятиях педагоги используют различные приемы и методы обучения. Целесообразность выбора зависит от образовательных задач, которые ставит перед собой педагог, а также с учетом возрастных особенностей обучающихся и возможностей материально-технической базы учреждения. </w:t>
      </w:r>
    </w:p>
    <w:p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Для оценки работы объединений определена следующая система критериев: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• сохранность контингента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• стабильность посещаемости занятий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• уровень освоения программного материала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• личные достижения обучающихся </w:t>
      </w:r>
    </w:p>
    <w:p>
      <w:pPr>
        <w:rPr>
          <w:b/>
        </w:rPr>
      </w:pPr>
    </w:p>
    <w:p>
      <w:pPr>
        <w:ind w:firstLine="709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4. Условие обеспечения образовательного процесса</w:t>
      </w:r>
    </w:p>
    <w:p>
      <w:pPr>
        <w:ind w:firstLine="709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4.1. Методическое обеспечение</w:t>
      </w:r>
    </w:p>
    <w:p>
      <w:pPr>
        <w:ind w:firstLine="709"/>
        <w:rPr>
          <w:rFonts w:eastAsia="Calibri" w:cs="Times New Roman"/>
          <w:sz w:val="28"/>
          <w:szCs w:val="28"/>
        </w:rPr>
      </w:pP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Работа методической службы Центра способствует обновлению содержания образовательной деятельности, повышению профессионального мастерства, оказывает методическую помощь педагогам.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Повышение профессионального мастерства педагогов осуществляется через проведение открытых занятий, мастер – классов, участия педагогов в обучающих семинарах разного уровня, а также прохождение курсов повышения квалификации.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Оказание индивидуальной методической помощи педагогам учреждения осуществляется через помощь педагогам в корректировке и написании образовательных программ по новым требованиям, при подготовке к открытым занятиям и аттестации на квалификационную категорию, при выборе методов и способов диагностики результативности образовательного процесса в творческих объединениях, оформлении специальной документации и др.</w:t>
      </w:r>
    </w:p>
    <w:p/>
    <w:p>
      <w:pPr>
        <w:ind w:firstLine="709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4.2. Кадровое обеспечение</w:t>
      </w:r>
    </w:p>
    <w:p>
      <w:pPr>
        <w:tabs>
          <w:tab w:val="left" w:pos="3630"/>
        </w:tabs>
      </w:pPr>
    </w:p>
    <w:tbl>
      <w:tblPr>
        <w:tblStyle w:val="8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4554"/>
        <w:gridCol w:w="98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Показатель</w:t>
            </w:r>
          </w:p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Укомплектованность штата педагогических работников</w:t>
            </w:r>
          </w:p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Из них внешних совместителей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Образовательный уровень</w:t>
            </w:r>
          </w:p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педагогических</w:t>
            </w:r>
          </w:p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работников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 высшим образованием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72,7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 высш.педагогическим</w:t>
            </w:r>
          </w:p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образованием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 средним</w:t>
            </w:r>
          </w:p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профессиональным</w:t>
            </w:r>
          </w:p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образованием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 средним</w:t>
            </w:r>
          </w:p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профессиональным</w:t>
            </w:r>
          </w:p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педагогической</w:t>
            </w:r>
          </w:p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направленность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Имеют квалификационную</w:t>
            </w:r>
          </w:p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категорию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Всего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Высшую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Первую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Без категории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  <w:highlight w:val="yellow"/>
              </w:rPr>
            </w:pPr>
            <w:r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Имеют учёное звание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</w:t>
            </w:r>
          </w:p>
        </w:tc>
      </w:tr>
    </w:tbl>
    <w:p>
      <w:pPr>
        <w:ind w:firstLine="708"/>
      </w:pPr>
    </w:p>
    <w:p/>
    <w:p>
      <w:pPr>
        <w:jc w:val="center"/>
        <w:rPr>
          <w:rFonts w:eastAsia="Calibri" w:cs="Times New Roman"/>
          <w:b/>
          <w:sz w:val="28"/>
          <w:szCs w:val="28"/>
        </w:rPr>
      </w:pPr>
      <w:r>
        <w:tab/>
      </w:r>
      <w:r>
        <w:rPr>
          <w:rFonts w:eastAsia="Calibri" w:cs="Times New Roman"/>
          <w:b/>
          <w:sz w:val="28"/>
          <w:szCs w:val="28"/>
        </w:rPr>
        <w:t>Количество педагогов по возрастам (чел., %)</w:t>
      </w:r>
    </w:p>
    <w:p>
      <w:pPr>
        <w:tabs>
          <w:tab w:val="left" w:pos="960"/>
        </w:tabs>
      </w:pPr>
    </w:p>
    <w:tbl>
      <w:tblPr>
        <w:tblStyle w:val="8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2835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Возраст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Человек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% от общего числа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40"/>
              </w:tabs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До 25 лет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 25 до 35 лет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 35 до 55 лет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52,1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Пенсионного возраста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</w:t>
            </w:r>
          </w:p>
        </w:tc>
      </w:tr>
    </w:tbl>
    <w:p>
      <w:pPr>
        <w:tabs>
          <w:tab w:val="left" w:pos="960"/>
        </w:tabs>
      </w:pPr>
    </w:p>
    <w:p/>
    <w:p>
      <w:pPr>
        <w:ind w:firstLine="709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4.3. Материально-техническое обеспечение</w:t>
      </w:r>
    </w:p>
    <w:p>
      <w:pPr>
        <w:tabs>
          <w:tab w:val="left" w:pos="3555"/>
        </w:tabs>
      </w:pP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Центре 14 кабинетов. 12 кабинетов являются учебными, 2 - административных и 6 подсобных помещений. Качество условий работы творческих объединений вполне удовлетворяет требованиям, предъявляемым к условиям ведения образовательной деятельности в учреждении дополнительного образования.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кабинете для занятий творческого объединения «Английский язык для младших школьников: Jolly Phonics шаг за шагом» имеется необходимая мебель для детей дошкольного и младшего школьного возраста (столы, стулья), стеллажи и шкафы для хранения работ, учебных и дидактических материалов. Мебель соответствует санитарно-эпидемиологическим требованиям, регулируется по высоте.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Имеется отдельный кабинет для практических занятий студии альтернативной моды «Озорной Квилт», оснащенный специальным оборудованием (швейные машины, утюг, гладильная доска и т.п.), рабочие места приспособлены для работы с мелкими инструментами и материалами (иглы, нитки, ножницы, булавки, вязальные крючки, лоскуты ткани, тесьма и пр.). В кабинете имеются методические и дидактические пособия: книги по истории костюма, образцы работ, шаблоны, различные карты-схемы с лоскутными композициями, схемы и выкройки костюмов и т.д. Занятия дефиле и хореографией проводятся в актовом зале ЦДТ «Факел».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кабинете мультипликации установлен станок для мультипликации, приобретены современный компьютер, фотоаппарат и программное обеспечение.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Кабинеты творческих объединений оборудованы стеллажами для хранения материалов, инструментов, наглядных и методических пособий. Для проведения занятий имеются все необходимые инструменты и материалы (гуашь, уголь, пластилин, цветная бумага и картон, восковые мелки, пастель, акварель, различные природные материалы, ножницы, клей и др.).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работе творческих объединений используются различные технические средства обучения: мультимедиа-оборудование, интерактивные доски и персональные компьютеры.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Кабинеты для ТО «Шахматы» оборудованы мебелью стеллажами для хранения материалов. В текущем году обновлено шахматное оборудование всех кабинетов, закуплены новые шахматные часы и мощная компьютерная техника для проведения турниров в он-лайн формате и подсчета шахматных партий.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Педагогами постоянно пополняется банк наглядных и дидактических материалов, что является необходимым условием для успешного восприятия детьми учебного материала. Созданы условия для использования компьютерных технологий в образовательном процессе. Методическая служба оснащена новой оргтехникой, позволяющей оформлять яркие наглядные и методические материалы всем педагогам.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Для комфорта обучающихся оборудован гардероб с ячейками для хранения личных вещей.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ЦДТ «Факел» соблюдаются условия охраны здоровья обучающихся. Для этого: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обеспечен питьевой режим обучающихся (используется установка проточной фильтрованной воды пурифайер «Аквафор 58 BF VFD», питьевой фонтанчик «Аква-Лоджик» и разовые стаканы);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обеспечен благоприятный температурный режим в помещениях путем регулировки подачи теплоносителя (установлены шаровые краны на радиаторы, в каждом учебном кабинете установлен термометр для постоянного контроля температуры);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установлены пластиковые окна во всем учреждении;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в учреждении обеспечена круглосуточная физическая охрана (в дневное время – вахтёр, в ночное время и праздничные дни – сторож);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обеспечена наружная и внутренняя система круглосуточного видеонаблюдения с выводом на пульт дежурного по зданию (сторож, вахтер);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установлена тревожная сигнализация («тревожная кнопка»); - и пр. </w:t>
      </w:r>
    </w:p>
    <w:p>
      <w:pPr>
        <w:ind w:firstLine="709"/>
        <w:rPr>
          <w:rFonts w:eastAsia="Calibri" w:cs="Times New Roman"/>
          <w:b/>
          <w:sz w:val="28"/>
          <w:szCs w:val="28"/>
        </w:rPr>
      </w:pPr>
    </w:p>
    <w:p>
      <w:pPr>
        <w:ind w:firstLine="709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5. Результативность образовательной деятельности</w:t>
      </w:r>
    </w:p>
    <w:p/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Анализ работы по результативности образовательной деятельности за прошедший учебный год проведен педагогами ЦДТ «Факел» в различных аспектах. Проанализированы: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– уровень выполнения образовательной общеразвивающей программы;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– уровень и качество усвоения программного материала;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– уровень сохранности и стабильности детских коллективов;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– уровень результативности деятельности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Проведены заключительные концерты и итоговые выставки детских работ, а также шахматный турнир по итогам года.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Представленные педагогами данные показывают достаточно высокий уровень усвоения программного материала обучающимися ЦДТ «Факел», высокую сохранность детских коллективов, а также по-прежнему стабильно высок уровень достижений обучающихся на фестивалях, конкурсах и соревнованиях от муниципального до международного уровня.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5.1. Приняли участие в фестивалях, конкурсах, турнирах и выставках от муниципального до международного уровня</w:t>
      </w:r>
    </w:p>
    <w:p>
      <w:pPr>
        <w:tabs>
          <w:tab w:val="left" w:pos="1050"/>
        </w:tabs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538"/>
        <w:gridCol w:w="2748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№</w:t>
            </w:r>
          </w:p>
        </w:tc>
        <w:tc>
          <w:tcPr>
            <w:tcW w:w="3578" w:type="dxa"/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Уровень</w:t>
            </w:r>
          </w:p>
        </w:tc>
        <w:tc>
          <w:tcPr>
            <w:tcW w:w="2783" w:type="dxa"/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Кол-во мероприятий</w:t>
            </w:r>
          </w:p>
        </w:tc>
        <w:tc>
          <w:tcPr>
            <w:tcW w:w="3403" w:type="dxa"/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Кол-во участников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578" w:type="dxa"/>
          </w:tcPr>
          <w:p>
            <w:pPr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Муниципальный</w:t>
            </w:r>
          </w:p>
        </w:tc>
        <w:tc>
          <w:tcPr>
            <w:tcW w:w="278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49</w:t>
            </w:r>
          </w:p>
        </w:tc>
        <w:tc>
          <w:tcPr>
            <w:tcW w:w="340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578" w:type="dxa"/>
          </w:tcPr>
          <w:p>
            <w:pPr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Региональный</w:t>
            </w:r>
          </w:p>
        </w:tc>
        <w:tc>
          <w:tcPr>
            <w:tcW w:w="278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340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578" w:type="dxa"/>
          </w:tcPr>
          <w:p>
            <w:pPr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Межрегиональный</w:t>
            </w:r>
          </w:p>
        </w:tc>
        <w:tc>
          <w:tcPr>
            <w:tcW w:w="278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340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578" w:type="dxa"/>
          </w:tcPr>
          <w:p>
            <w:pPr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Федеральный</w:t>
            </w:r>
          </w:p>
        </w:tc>
        <w:tc>
          <w:tcPr>
            <w:tcW w:w="278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340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578" w:type="dxa"/>
          </w:tcPr>
          <w:p>
            <w:pPr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Международный</w:t>
            </w:r>
          </w:p>
        </w:tc>
        <w:tc>
          <w:tcPr>
            <w:tcW w:w="278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340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578" w:type="dxa"/>
          </w:tcPr>
          <w:p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Итого</w:t>
            </w:r>
          </w:p>
        </w:tc>
        <w:tc>
          <w:tcPr>
            <w:tcW w:w="278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116</w:t>
            </w:r>
          </w:p>
        </w:tc>
        <w:tc>
          <w:tcPr>
            <w:tcW w:w="340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1204</w:t>
            </w:r>
          </w:p>
        </w:tc>
      </w:tr>
    </w:tbl>
    <w:p>
      <w:pPr>
        <w:tabs>
          <w:tab w:val="left" w:pos="1050"/>
        </w:tabs>
      </w:pPr>
    </w:p>
    <w:p>
      <w:pPr>
        <w:ind w:firstLine="567"/>
        <w:rPr>
          <w:rFonts w:eastAsia="Calibri" w:cs="Times New Roman"/>
          <w:sz w:val="28"/>
          <w:szCs w:val="28"/>
        </w:rPr>
      </w:pPr>
      <w:r>
        <w:tab/>
      </w:r>
      <w:r>
        <w:t xml:space="preserve"> </w:t>
      </w:r>
      <w:r>
        <w:rPr>
          <w:rFonts w:eastAsia="Calibri" w:cs="Times New Roman"/>
          <w:sz w:val="28"/>
          <w:szCs w:val="28"/>
        </w:rPr>
        <w:t>5.2. Победы детей в фестивалях, конкурсах, турнирах и выставках от муниципального до международного уровня:</w:t>
      </w:r>
    </w:p>
    <w:p>
      <w:pPr>
        <w:tabs>
          <w:tab w:val="left" w:pos="2055"/>
        </w:tabs>
      </w:pPr>
    </w:p>
    <w:p>
      <w:pPr>
        <w:tabs>
          <w:tab w:val="left" w:pos="2055"/>
        </w:tabs>
      </w:pPr>
      <w:r>
        <w:tab/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1894"/>
        <w:gridCol w:w="2315"/>
        <w:gridCol w:w="190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Международный</w:t>
            </w:r>
          </w:p>
        </w:tc>
        <w:tc>
          <w:tcPr>
            <w:tcW w:w="1926" w:type="dxa"/>
          </w:tcPr>
          <w:p>
            <w:pPr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Федеральный</w:t>
            </w:r>
          </w:p>
        </w:tc>
        <w:tc>
          <w:tcPr>
            <w:tcW w:w="1926" w:type="dxa"/>
          </w:tcPr>
          <w:p>
            <w:pPr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Межрегиональный</w:t>
            </w:r>
          </w:p>
        </w:tc>
        <w:tc>
          <w:tcPr>
            <w:tcW w:w="1926" w:type="dxa"/>
          </w:tcPr>
          <w:p>
            <w:pPr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Региональный</w:t>
            </w:r>
          </w:p>
        </w:tc>
        <w:tc>
          <w:tcPr>
            <w:tcW w:w="1926" w:type="dxa"/>
          </w:tcPr>
          <w:p>
            <w:pPr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Муниципальный</w:t>
            </w:r>
          </w:p>
          <w:p>
            <w:pPr>
              <w:jc w:val="left"/>
              <w:rPr>
                <w:rFonts w:eastAsia="Calibri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124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237</w:t>
            </w:r>
          </w:p>
        </w:tc>
      </w:tr>
    </w:tbl>
    <w:p>
      <w:pPr>
        <w:tabs>
          <w:tab w:val="left" w:pos="2055"/>
        </w:tabs>
      </w:pPr>
    </w:p>
    <w:p>
      <w:pPr>
        <w:ind w:firstLine="709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6. Организационно-массовая деятельность</w:t>
      </w:r>
    </w:p>
    <w:p/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6.1. Традиционно «Центр детского творчества «Факел» является организатором многих массовых мероприятий известных не только в р.п. Кольцово. В 2023 был обеспечен весь спектр видов, направлений, форм деятельности, сопутствующих возрасту, способностям и интересам детей.  МБУДО «ЦДТ «Факел» остается привлекательной площадкой не только для обучающихся в учреждении, но и для всех детей наукограда Кольцово.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6.2. Организовано и проведено мероприятий «Центром детского творчества «Факел»</w:t>
      </w:r>
    </w:p>
    <w:p>
      <w:pPr>
        <w:tabs>
          <w:tab w:val="left" w:pos="1575"/>
        </w:tabs>
      </w:pPr>
      <w:r>
        <w:tab/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97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Категория мероприятий</w:t>
            </w:r>
          </w:p>
        </w:tc>
        <w:tc>
          <w:tcPr>
            <w:tcW w:w="2977" w:type="dxa"/>
          </w:tcPr>
          <w:p>
            <w:pPr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Кол-во мероприятий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Кол-во участников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Выставки</w:t>
            </w:r>
          </w:p>
        </w:tc>
        <w:tc>
          <w:tcPr>
            <w:tcW w:w="2977" w:type="dxa"/>
          </w:tcPr>
          <w:p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Досуговые и тематические программы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Фестивали и конкурсы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Турниры и соревнования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Экскурсии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Итого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3972</w:t>
            </w:r>
          </w:p>
        </w:tc>
      </w:tr>
    </w:tbl>
    <w:p>
      <w:pPr>
        <w:tabs>
          <w:tab w:val="left" w:pos="1575"/>
        </w:tabs>
      </w:pPr>
    </w:p>
    <w:p>
      <w:pPr>
        <w:jc w:val="center"/>
        <w:rPr>
          <w:b/>
        </w:rPr>
      </w:pPr>
    </w:p>
    <w:p>
      <w:pPr>
        <w:ind w:firstLine="709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7. Динамика изменений</w:t>
      </w:r>
    </w:p>
    <w:p>
      <w:pPr>
        <w:tabs>
          <w:tab w:val="left" w:pos="2985"/>
        </w:tabs>
      </w:pP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7.1. Педагоги «ЦДТ «Факел» систематически в течение учебного года участвовали в работе конференций и семинаров разного уровня, проходили обучение на курсах повышения квалификации . Руководящие работники прошли курсы повышения квалификации «Менеджмент организации отдыха детей и их оздоровления», «Антитеррористическая защищенность и безопасность образовательной организации». Руководители и ответственные за ГО и ЧС прошли очередное  обучение по «Охране труда» . Активно внедряются на занятиях элементы работы с использованием дистанционных технологий.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7.2. Своевременно обновлялась информация для педагогов и родителей на сайте учреждения.</w:t>
      </w:r>
    </w:p>
    <w:p/>
    <w:p>
      <w:pPr>
        <w:tabs>
          <w:tab w:val="left" w:pos="3135"/>
        </w:tabs>
      </w:pPr>
      <w:r>
        <w:tab/>
      </w:r>
    </w:p>
    <w:p>
      <w:pPr>
        <w:ind w:firstLine="709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8. Общие выводы и предложения</w:t>
      </w:r>
    </w:p>
    <w:p/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8.1. Создание единого образовательного и информационного пространства обеспечивает доступность качественного дополнительного образования для детей, реализацию дополнительных образовательных и воспитательных программ.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8.2. Проведенное самообследование показывает хорошую результативность образовательного процесса, так как обеспечивается приемлемым уровнем сохранности контингента и стабильности детских коллективов, реализации образовательных программ, а также высоким уровнем достижений обучающихся.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8.3. В учреждении сохранена система повышения профессионального мастерства педагогов дополнительного образования. Отмечается активная деятельность педагогов Центра со средствами массовой информации.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8.4. Продолжается работа по совершенствованию программного обеспечения образовательного процесса, системы контроля, мониторинга результатов образовательной деятельности, укреплению материально – технической базы.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8.5. Наряду с положительными результатами работы учреждения за 2023 год необходимо обратить внимание на отдельные рабочие моменты, требующие дополнительного решения: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необходимо усилить работу методической службы учреждения по исследовательской и аналитической деятельности;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усовершенствование применения ИКТ – технологий в образовательном процессе творческих объединений. </w:t>
      </w:r>
    </w:p>
    <w:p>
      <w:pPr>
        <w:rPr>
          <w:rFonts w:eastAsia="Calibri" w:cs="Times New Roman"/>
          <w:sz w:val="28"/>
          <w:szCs w:val="28"/>
        </w:rPr>
      </w:pPr>
    </w:p>
    <w:p>
      <w:pPr>
        <w:ind w:firstLine="709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9. Перспективы развития на 2024 год</w:t>
      </w:r>
    </w:p>
    <w:p>
      <w:pPr>
        <w:tabs>
          <w:tab w:val="left" w:pos="3435"/>
        </w:tabs>
      </w:pP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Руководствуясь планом действий по реализации Концепции развития дополнительного образования детей на территории Новосибирской области в «ЦДТ «Факел» определены приоритетные направления развития на ближайшие 2 года. Основная цель – укрепление обновленного имиджа должно оставаться фактом качественных изменений на всех уровнях работы учреждения.  Основной задачей на будущий год все так же остается развитие основных направлений, как отдельных самостоятельных целевых подпрограмм: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1. Муниципальный комплексный Шахматный центр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2. Направление социализации для семей с детьми с ОВЗ и детьми-инвалидами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3. Центр раннего предпрофессионального самоопределения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2023 году в деятельности «ЦДТ «Факел» появились новые направления деятельности .Так «ЦДТ «Факел» стал центром профилактики безопасности дорожного движения в наукограде Кольцово. А также учреждение стало координационным центром в проведении мероприятий краеведческой направленности.</w:t>
      </w:r>
    </w:p>
    <w:p>
      <w:pPr>
        <w:ind w:firstLine="709"/>
        <w:rPr>
          <w:rFonts w:eastAsia="Calibri" w:cs="Times New Roman"/>
          <w:sz w:val="28"/>
          <w:szCs w:val="28"/>
        </w:rPr>
      </w:pPr>
    </w:p>
    <w:p>
      <w:pPr>
        <w:ind w:firstLine="709"/>
        <w:rPr>
          <w:rFonts w:eastAsia="Calibri" w:cs="Times New Roman"/>
          <w:sz w:val="28"/>
          <w:szCs w:val="28"/>
        </w:rPr>
      </w:pPr>
    </w:p>
    <w:p>
      <w:pPr>
        <w:ind w:firstLine="709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10. Определены приоритетные направления работы:</w:t>
      </w:r>
    </w:p>
    <w:p>
      <w:pPr>
        <w:ind w:firstLine="709"/>
        <w:jc w:val="center"/>
        <w:rPr>
          <w:rFonts w:eastAsia="Calibri" w:cs="Times New Roman"/>
          <w:b/>
          <w:sz w:val="28"/>
          <w:szCs w:val="28"/>
        </w:rPr>
      </w:pP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1. Сформировать обновленный имидж "ЦДТ "Факел" как современного учреждения дополнительного образования детей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2. Реализация подпрограмм развития трех направлений: комплексного Шахматного центра, направление социализации семей с детьми с ОВЗ и детьми-инвалидами, направления предпрофильной подготовки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3. Обеспечить развитие новых направлений дополнительного образования в соответствии с муниципальным заказом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4. Расширить сетевое взаимодействие и социальное партнерство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5. Совершенствование содержания и структуры управления образовательным процессом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6. Оптимизировать внутреннюю структуру учреждения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7. Создать условия для развития методической службы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8. Обеспечить организацию методического сопровождения образовательного процесса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9. Создать условия для профессионального и личностного роста педагогов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10. Расширить сферы социокультурной деятельности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11. Оптимизировать систему отчетности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Таким образом, все задачи можно объединить в 4 ключевых направления: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1. Формирование имиджа МБУДО «ЦДТ «Факел» как современного учреждения дополнительного образования детей;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2. Развитие методической службы;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3. Совершенствование содержания и структуры управления образовательным процессом; </w:t>
      </w:r>
    </w:p>
    <w:p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Создание условий для профессионального и личностного роста педагогов.</w:t>
      </w:r>
    </w:p>
    <w:p>
      <w:pPr>
        <w:tabs>
          <w:tab w:val="left" w:pos="1590"/>
        </w:tabs>
        <w:spacing w:line="276" w:lineRule="auto"/>
      </w:pPr>
    </w:p>
    <w:sectPr>
      <w:pgSz w:w="11906" w:h="16838"/>
      <w:pgMar w:top="1134" w:right="850" w:bottom="1134" w:left="993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Noto Sans CJK SC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731C3"/>
    <w:multiLevelType w:val="singleLevel"/>
    <w:tmpl w:val="9D6731C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12"/>
    <w:rsid w:val="00070FDA"/>
    <w:rsid w:val="000C44B6"/>
    <w:rsid w:val="001C2F08"/>
    <w:rsid w:val="0022738A"/>
    <w:rsid w:val="00252707"/>
    <w:rsid w:val="002A4D51"/>
    <w:rsid w:val="002C608C"/>
    <w:rsid w:val="002E1A6D"/>
    <w:rsid w:val="00321470"/>
    <w:rsid w:val="00322072"/>
    <w:rsid w:val="003753DA"/>
    <w:rsid w:val="003806BE"/>
    <w:rsid w:val="003D1DA0"/>
    <w:rsid w:val="003E306B"/>
    <w:rsid w:val="003F2A52"/>
    <w:rsid w:val="00430295"/>
    <w:rsid w:val="00463636"/>
    <w:rsid w:val="004A04F2"/>
    <w:rsid w:val="0053352E"/>
    <w:rsid w:val="00537DFE"/>
    <w:rsid w:val="00644C9E"/>
    <w:rsid w:val="00725267"/>
    <w:rsid w:val="00757A12"/>
    <w:rsid w:val="007B54EA"/>
    <w:rsid w:val="007B57C9"/>
    <w:rsid w:val="007F25C3"/>
    <w:rsid w:val="00802D65"/>
    <w:rsid w:val="00884A81"/>
    <w:rsid w:val="00886477"/>
    <w:rsid w:val="008A07D2"/>
    <w:rsid w:val="008B62EA"/>
    <w:rsid w:val="009B5D9D"/>
    <w:rsid w:val="00A169E4"/>
    <w:rsid w:val="00A65A5A"/>
    <w:rsid w:val="00A71374"/>
    <w:rsid w:val="00AB490F"/>
    <w:rsid w:val="00AF7E51"/>
    <w:rsid w:val="00B33B19"/>
    <w:rsid w:val="00B602E1"/>
    <w:rsid w:val="00B60B62"/>
    <w:rsid w:val="00BF5079"/>
    <w:rsid w:val="00BF5503"/>
    <w:rsid w:val="00BF6F14"/>
    <w:rsid w:val="00C76780"/>
    <w:rsid w:val="00D92B24"/>
    <w:rsid w:val="00DF5D77"/>
    <w:rsid w:val="00E24300"/>
    <w:rsid w:val="00EC06A6"/>
    <w:rsid w:val="00F04840"/>
    <w:rsid w:val="00F53D00"/>
    <w:rsid w:val="00F707B8"/>
    <w:rsid w:val="00F73EF0"/>
    <w:rsid w:val="00FD0A5D"/>
    <w:rsid w:val="00FD344E"/>
    <w:rsid w:val="00FE36CA"/>
    <w:rsid w:val="00FF1E1A"/>
    <w:rsid w:val="00FF4C49"/>
    <w:rsid w:val="113B42A2"/>
    <w:rsid w:val="11C02D98"/>
    <w:rsid w:val="138320E8"/>
    <w:rsid w:val="22DA67A4"/>
    <w:rsid w:val="2C4703C8"/>
    <w:rsid w:val="30927151"/>
    <w:rsid w:val="33006C01"/>
    <w:rsid w:val="35490860"/>
    <w:rsid w:val="41870453"/>
    <w:rsid w:val="44105A22"/>
    <w:rsid w:val="45695003"/>
    <w:rsid w:val="47107D3B"/>
    <w:rsid w:val="49234763"/>
    <w:rsid w:val="4E777C3C"/>
    <w:rsid w:val="5086061C"/>
    <w:rsid w:val="50B7363D"/>
    <w:rsid w:val="56347A14"/>
    <w:rsid w:val="59C13496"/>
    <w:rsid w:val="5CF022BF"/>
    <w:rsid w:val="5DE60D00"/>
    <w:rsid w:val="5F584042"/>
    <w:rsid w:val="60A67FC9"/>
    <w:rsid w:val="67A43DB3"/>
    <w:rsid w:val="6A9C371C"/>
    <w:rsid w:val="6EE56289"/>
    <w:rsid w:val="6F152476"/>
    <w:rsid w:val="726A4227"/>
    <w:rsid w:val="75322058"/>
    <w:rsid w:val="7683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0"/>
    <w:unhideWhenUsed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ий колонтитул Знак"/>
    <w:basedOn w:val="2"/>
    <w:link w:val="6"/>
    <w:uiPriority w:val="99"/>
    <w:rPr>
      <w:rFonts w:ascii="Times New Roman" w:hAnsi="Times New Roman"/>
      <w:sz w:val="24"/>
    </w:rPr>
  </w:style>
  <w:style w:type="character" w:customStyle="1" w:styleId="10">
    <w:name w:val="Нижний колонтитул Знак"/>
    <w:basedOn w:val="2"/>
    <w:link w:val="7"/>
    <w:uiPriority w:val="99"/>
    <w:rPr>
      <w:rFonts w:ascii="Times New Roman" w:hAnsi="Times New Roman"/>
      <w:sz w:val="24"/>
    </w:rPr>
  </w:style>
  <w:style w:type="character" w:customStyle="1" w:styleId="11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973E-ABFA-404B-B03D-732478D10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3430</Words>
  <Characters>19554</Characters>
  <Lines>162</Lines>
  <Paragraphs>45</Paragraphs>
  <TotalTime>5131</TotalTime>
  <ScaleCrop>false</ScaleCrop>
  <LinksUpToDate>false</LinksUpToDate>
  <CharactersWithSpaces>22939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2022-04-14T05:58:00Z</dcterms:created>
  <dc:creator>USER</dc:creator>
  <cp:lastModifiedBy>TC</cp:lastModifiedBy>
  <cp:lastPrinted>2024-03-29T04:45:00Z</cp:lastPrinted>
  <dcterms:modified xsi:type="dcterms:W3CDTF">2024-04-22T02:59:45Z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67A4ACAC3DAC4ECD902A2CEC59354A8B</vt:lpwstr>
  </property>
</Properties>
</file>